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pacing w:val="30"/>
          <w:sz w:val="34"/>
          <w:szCs w:val="34"/>
        </w:rPr>
        <w:t xml:space="preserve">CHRISTOPHER MANGUN</w:t>
      </w:r>
    </w:p>
    <w:p>
      <w:pPr>
        <w:spacing w:after="40" w:before="0"/>
      </w:pPr>
      <w:r>
        <w:rPr>
          <w:color w:val="6B6A4F"/>
          <w:sz w:val="21"/>
          <w:szCs w:val="21"/>
        </w:rPr>
        <w:t xml:space="preserve">Principal Technical Program Manager, AI Delivery</w:t>
      </w:r>
    </w:p>
    <w:p>
      <w:pPr>
        <w:spacing w:after="40" w:before="0"/>
      </w:pPr>
      <w:r>
        <w:rPr>
          <w:color w:val="595959"/>
          <w:sz w:val="17"/>
          <w:szCs w:val="17"/>
        </w:rPr>
        <w:t xml:space="preserve">Enterprise AI Platforms  |  Technical Program Delivery  |  Portfolio Governance</w:t>
      </w:r>
    </w:p>
    <w:p>
      <w:pPr>
        <w:spacing w:after="20" w:before="0"/>
      </w:pPr>
      <w:r>
        <w:rPr>
          <w:sz w:val="19"/>
          <w:szCs w:val="19"/>
        </w:rPr>
        <w:t xml:space="preserve">New York, NY  |  917-717-1894  |  cmangun@gmail.com  |  </w:t>
      </w:r>
      <w:hyperlink w:history="1" r:id="rId4lf3kdb7usabfnurjg6-x">
        <w:r>
          <w:rPr>
            <w:rStyle w:val="Hyperlink"/>
            <w:sz w:val="19"/>
            <w:szCs w:val="19"/>
          </w:rPr>
          <w:t xml:space="preserve">LinkedIn</w:t>
        </w:r>
      </w:hyperlink>
      <w:r>
        <w:rPr>
          <w:sz w:val="19"/>
          <w:szCs w:val="19"/>
        </w:rPr>
        <w:t xml:space="preserve">  |  </w:t>
      </w:r>
      <w:hyperlink w:history="1" r:id="rId4patv-stebgp5e0pvf6ny">
        <w:r>
          <w:rPr>
            <w:rStyle w:val="Hyperlink"/>
            <w:sz w:val="19"/>
            <w:szCs w:val="19"/>
          </w:rPr>
          <w:t xml:space="preserve">Portfolio</w:t>
        </w:r>
      </w:hyperlink>
      <w:r>
        <w:rPr>
          <w:sz w:val="19"/>
          <w:szCs w:val="19"/>
        </w:rPr>
        <w:t xml:space="preserve">  |  </w:t>
      </w:r>
      <w:hyperlink w:history="1" r:id="rIdw6kvroetuacjen6fpyjwq">
        <w:r>
          <w:rPr>
            <w:rStyle w:val="Hyperlink"/>
            <w:sz w:val="19"/>
            <w:szCs w:val="19"/>
          </w:rPr>
          <w:t xml:space="preserve">GitHub</w:t>
        </w:r>
      </w:hyperlink>
    </w:p>
    <w:p>
      <w:pPr>
        <w:pBdr>
          <w:bottom w:val="single" w:color="BFBFBF" w:sz="4" w:space="1"/>
        </w:pBdr>
        <w:spacing w:after="24" w:before="70"/>
      </w:pPr>
    </w:p>
    <w:p>
      <w:pPr>
        <w:spacing w:after="20" w:before="56"/>
      </w:pPr>
      <w:r>
        <w:rPr>
          <w:b/>
          <w:bCs/>
          <w:color w:val="6B6A4F"/>
          <w:spacing w:val="40"/>
          <w:sz w:val="17"/>
          <w:szCs w:val="17"/>
        </w:rPr>
        <w:t xml:space="preserve">SUMMARY</w:t>
      </w:r>
    </w:p>
    <w:p>
      <w:pPr>
        <w:spacing w:after="40" w:before="0"/>
      </w:pPr>
      <w:r>
        <w:rPr>
          <w:sz w:val="19"/>
          <w:szCs w:val="19"/>
        </w:rPr>
        <w:t xml:space="preserve">Principal Technical Program Manager with 17+ years leading enterprise platforms, AI programs, and complex technology delivery. Builds the operating models, governance, and release controls that move programs from executive intent through production. Led portfolios up to $51M, scaled organizations to 60+ people, and launched cloud and AI platforms for enterprise users.</w:t>
      </w:r>
    </w:p>
    <w:p>
      <w:pPr>
        <w:spacing w:after="20" w:before="56"/>
      </w:pPr>
      <w:r>
        <w:rPr>
          <w:b/>
          <w:bCs/>
          <w:color w:val="6B6A4F"/>
          <w:spacing w:val="40"/>
          <w:sz w:val="17"/>
          <w:szCs w:val="17"/>
        </w:rPr>
        <w:t xml:space="preserve">SKILLS</w:t>
      </w:r>
    </w:p>
    <w:p>
      <w:pPr>
        <w:spacing w:after="25" w:before="0"/>
      </w:pPr>
      <w:r>
        <w:rPr>
          <w:b/>
          <w:bCs/>
          <w:color w:val="595959"/>
          <w:sz w:val="17"/>
          <w:szCs w:val="17"/>
        </w:rPr>
        <w:t xml:space="preserve">PROGRAM LEADERSHIP  </w:t>
      </w:r>
      <w:r>
        <w:rPr>
          <w:sz w:val="19"/>
          <w:szCs w:val="19"/>
        </w:rPr>
        <w:t xml:space="preserve">Portfolio governance, operating models, executive reporting, capacity planning, financial oversight, vendor management</w:t>
      </w:r>
    </w:p>
    <w:p>
      <w:pPr>
        <w:spacing w:after="25" w:before="0"/>
      </w:pPr>
      <w:r>
        <w:rPr>
          <w:b/>
          <w:bCs/>
          <w:color w:val="595959"/>
          <w:sz w:val="17"/>
          <w:szCs w:val="17"/>
        </w:rPr>
        <w:t xml:space="preserve">TECHNICAL DELIVERY  </w:t>
      </w:r>
      <w:r>
        <w:rPr>
          <w:sz w:val="19"/>
          <w:szCs w:val="19"/>
        </w:rPr>
        <w:t xml:space="preserve">AI platforms, cloud migration, product roadmaps, dependency management, release planning, production readiness, RAID management</w:t>
      </w:r>
    </w:p>
    <w:p>
      <w:pPr>
        <w:spacing w:after="25" w:before="0"/>
      </w:pPr>
      <w:r>
        <w:rPr>
          <w:b/>
          <w:bCs/>
          <w:color w:val="595959"/>
          <w:sz w:val="17"/>
          <w:szCs w:val="17"/>
        </w:rPr>
        <w:t xml:space="preserve">AI AND GOVERNANCE  </w:t>
      </w:r>
      <w:r>
        <w:rPr>
          <w:sz w:val="19"/>
          <w:szCs w:val="19"/>
        </w:rPr>
        <w:t xml:space="preserve">Generative AI, RAG, LLM evaluation, MLOps, model governance, data governance, access controls, auditability</w:t>
      </w:r>
    </w:p>
    <w:p>
      <w:pPr>
        <w:spacing w:after="20" w:before="56"/>
      </w:pPr>
      <w:r>
        <w:rPr>
          <w:b/>
          <w:bCs/>
          <w:color w:val="6B6A4F"/>
          <w:spacing w:val="40"/>
          <w:sz w:val="17"/>
          <w:szCs w:val="17"/>
        </w:rPr>
        <w:t xml:space="preserve">WORK EXPERIENCE</w:t>
      </w:r>
    </w:p>
    <w:p>
      <w:pPr>
        <w:tabs>
          <w:tab w:val="right" w:pos="9026"/>
        </w:tabs>
        <w:spacing w:after="0" w:before="80"/>
      </w:pPr>
      <w:r>
        <w:rPr>
          <w:b/>
          <w:bCs/>
          <w:sz w:val="20"/>
          <w:szCs w:val="20"/>
        </w:rPr>
        <w:t xml:space="preserve">Independent AI &amp; Technology Consulting</w:t>
      </w:r>
      <w:r>
        <w:tab/>
      </w:r>
      <w:r>
        <w:rPr>
          <w:color w:val="595959"/>
          <w:sz w:val="17"/>
          <w:szCs w:val="17"/>
        </w:rPr>
        <w:t xml:space="preserve">Jul 2025 – Present</w:t>
      </w:r>
    </w:p>
    <w:p>
      <w:pPr>
        <w:spacing w:after="30" w:before="0"/>
      </w:pPr>
      <w:r>
        <w:rPr>
          <w:color w:val="333333"/>
          <w:sz w:val="19"/>
          <w:szCs w:val="19"/>
        </w:rPr>
        <w:t xml:space="preserve">Principal Technical Program Lead  |  New York, NY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Designed the production architecture and pilot-readiness plan for an AI-assisted consultation platform that grounded recommendations in approved knowledge, recorded decision history, and retained human approval.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Assessed approximately 12 separate operational platforms for Studio One and defined the consolidation roadmap for a unified GCP-based operating system.</w:t>
      </w:r>
    </w:p>
    <w:p>
      <w:pPr>
        <w:tabs>
          <w:tab w:val="right" w:pos="9026"/>
        </w:tabs>
        <w:spacing w:after="0" w:before="80"/>
      </w:pPr>
      <w:r>
        <w:rPr>
          <w:b/>
          <w:bCs/>
          <w:sz w:val="20"/>
          <w:szCs w:val="20"/>
        </w:rPr>
        <w:t xml:space="preserve">Pfizer CoLab — Publicis</w:t>
      </w:r>
      <w:r>
        <w:tab/>
      </w:r>
      <w:r>
        <w:rPr>
          <w:color w:val="595959"/>
          <w:sz w:val="17"/>
          <w:szCs w:val="17"/>
        </w:rPr>
        <w:t xml:space="preserve">Mar 2024 – Jul 2025</w:t>
      </w:r>
    </w:p>
    <w:p>
      <w:pPr>
        <w:spacing w:after="30" w:before="0"/>
      </w:pPr>
      <w:r>
        <w:rPr>
          <w:color w:val="333333"/>
          <w:sz w:val="19"/>
          <w:szCs w:val="19"/>
        </w:rPr>
        <w:t xml:space="preserve">Technology Production Lead for AI Platforms and Enterprise Delivery  |  New York, NY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Led delivery of Pfizer CoLab's enterprise RAG platform across source ingestion, retrieval, evaluation, access controls, user experience, and organizational rollout.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Established the governance and operating model for rollout to 500+ enterprise users.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Directed regulated production for Abrysvo and Comirnaty across engineering, medical, legal, regulatory, production, and agency teams.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Redesigned content operations to shorten review cycles by 35% and increase approved-content reuse 2.3× while preserving human approval.</w:t>
      </w:r>
    </w:p>
    <w:p>
      <w:pPr>
        <w:tabs>
          <w:tab w:val="right" w:pos="9026"/>
        </w:tabs>
        <w:spacing w:after="0" w:before="80"/>
      </w:pPr>
      <w:r>
        <w:rPr>
          <w:b/>
          <w:bCs/>
          <w:sz w:val="20"/>
          <w:szCs w:val="20"/>
        </w:rPr>
        <w:t xml:space="preserve">IPG Health</w:t>
      </w:r>
      <w:r>
        <w:tab/>
      </w:r>
      <w:r>
        <w:rPr>
          <w:color w:val="595959"/>
          <w:sz w:val="17"/>
          <w:szCs w:val="17"/>
        </w:rPr>
        <w:t xml:space="preserve">Mar 2020 – Mar 2024</w:t>
      </w:r>
    </w:p>
    <w:p>
      <w:pPr>
        <w:spacing w:after="30" w:before="0"/>
      </w:pPr>
      <w:r>
        <w:rPr>
          <w:color w:val="333333"/>
          <w:sz w:val="19"/>
          <w:szCs w:val="19"/>
        </w:rPr>
        <w:t xml:space="preserve">Director of Production and Technology  |  New York, NY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Owned delivery and financial governance for a $51M portfolio spanning 13 brands, including staffing, vendor oversight, risk management, quality controls, and executive escalation.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Scaled the delivery organization from five to 60+ people while maintaining portfolio-level visibility into capacity, commitments, and delivery health.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Led development and launch of DELCI for Novartis Kesimpta, giving users structured access to approved product information within defined response boundaries.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Directed complex technology programs across Novartis and Sanofi accounts, coordinating product, engineering, data, medical, regulatory, and agency teams.</w:t>
      </w:r>
    </w:p>
    <w:p>
      <w:pPr>
        <w:tabs>
          <w:tab w:val="right" w:pos="9026"/>
        </w:tabs>
        <w:spacing w:after="0" w:before="80"/>
      </w:pPr>
      <w:r>
        <w:rPr>
          <w:b/>
          <w:bCs/>
          <w:sz w:val="20"/>
          <w:szCs w:val="20"/>
        </w:rPr>
        <w:t xml:space="preserve">Abbott Laboratories — Data and Machine Learning</w:t>
      </w:r>
      <w:r>
        <w:tab/>
      </w:r>
      <w:r>
        <w:rPr>
          <w:color w:val="595959"/>
          <w:sz w:val="17"/>
          <w:szCs w:val="17"/>
        </w:rPr>
        <w:t xml:space="preserve">Dec 2018 – Mar 2020</w:t>
      </w:r>
    </w:p>
    <w:p>
      <w:pPr>
        <w:spacing w:after="30" w:before="0"/>
      </w:pPr>
      <w:r>
        <w:rPr>
          <w:color w:val="333333"/>
          <w:sz w:val="19"/>
          <w:szCs w:val="19"/>
        </w:rPr>
        <w:t xml:space="preserve">Senior Scrum Master and Technical Program Lead  |  Chicago, IL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Led modernization of the data ecosystem supporting approximately 27,000 Architect and Alinity diagnostic instruments, coordinating the Oracle-to-AWS migration and Azure/SharePoint delivery.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Improved data-retrieval efficiency by 65% and shortened a delivery cycle from approximately six months to three weeks through dependency planning, release controls, and cross-team execution.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Managed cross-platform dependencies, release sequencing, and continuity planning across distributed engineering, data, infrastructure, and business teams.</w:t>
      </w:r>
    </w:p>
    <w:p>
      <w:pPr>
        <w:tabs>
          <w:tab w:val="right" w:pos="9026"/>
        </w:tabs>
        <w:spacing w:after="0" w:before="80"/>
      </w:pPr>
      <w:r>
        <w:rPr>
          <w:b/>
          <w:bCs/>
          <w:sz w:val="20"/>
          <w:szCs w:val="20"/>
        </w:rPr>
        <w:t xml:space="preserve">Boundless Life Science Group</w:t>
      </w:r>
      <w:r>
        <w:tab/>
      </w:r>
      <w:r>
        <w:rPr>
          <w:color w:val="595959"/>
          <w:sz w:val="17"/>
          <w:szCs w:val="17"/>
        </w:rPr>
        <w:t xml:space="preserve">Sep 2017 – Oct 2018</w:t>
      </w:r>
    </w:p>
    <w:p>
      <w:pPr>
        <w:spacing w:after="30" w:before="0"/>
      </w:pPr>
      <w:r>
        <w:rPr>
          <w:color w:val="333333"/>
          <w:sz w:val="19"/>
          <w:szCs w:val="19"/>
        </w:rPr>
        <w:t xml:space="preserve">Associate Director of Technology and Production  |  Chicago, IL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Owned three launch statements of work totaling $5M and led a distributed 16-person technology and production organization.</w:t>
      </w:r>
    </w:p>
    <w:p>
      <w:pPr>
        <w:pStyle w:val="ListParagraph"/>
        <w:numPr>
          <w:ilvl w:val="0"/>
          <w:numId w:val="1"/>
        </w:numPr>
        <w:spacing w:after="10" w:before="0"/>
      </w:pPr>
      <w:r>
        <w:rPr>
          <w:sz w:val="19"/>
          <w:szCs w:val="19"/>
        </w:rPr>
        <w:t xml:space="preserve">Coordinated commercialization and launch readiness across product, technical, clinical, production, and agency teams.</w:t>
      </w:r>
    </w:p>
    <w:p>
      <w:pPr>
        <w:tabs>
          <w:tab w:val="right" w:pos="9026"/>
        </w:tabs>
        <w:spacing w:after="0" w:before="80"/>
      </w:pPr>
      <w:r>
        <w:rPr>
          <w:b/>
          <w:bCs/>
          <w:sz w:val="20"/>
          <w:szCs w:val="20"/>
        </w:rPr>
        <w:t xml:space="preserve">Earlier Experience</w:t>
      </w:r>
      <w:r>
        <w:tab/>
      </w:r>
      <w:r>
        <w:rPr>
          <w:color w:val="595959"/>
          <w:sz w:val="17"/>
          <w:szCs w:val="17"/>
        </w:rPr>
        <w:t xml:space="preserve">2008 – 2017</w:t>
      </w:r>
    </w:p>
    <w:p>
      <w:pPr>
        <w:spacing w:after="0" w:before="0"/>
      </w:pPr>
      <w:r>
        <w:rPr>
          <w:color w:val="333333"/>
          <w:sz w:val="19"/>
          <w:szCs w:val="19"/>
        </w:rPr>
        <w:t xml:space="preserve">Concentric Health, Grey Group, and Syneos Health  |  Progressively responsible technology, production, and delivery leadership roles</w:t>
      </w:r>
    </w:p>
    <w:p>
      <w:pPr>
        <w:spacing w:after="20" w:before="56"/>
      </w:pPr>
      <w:r>
        <w:rPr>
          <w:b/>
          <w:bCs/>
          <w:color w:val="6B6A4F"/>
          <w:spacing w:val="40"/>
          <w:sz w:val="17"/>
          <w:szCs w:val="17"/>
        </w:rPr>
        <w:t xml:space="preserve">CERTIFICATIONS</w:t>
      </w:r>
    </w:p>
    <w:p>
      <w:pPr>
        <w:spacing w:after="60" w:before="0"/>
      </w:pPr>
      <w:r>
        <w:rPr>
          <w:sz w:val="19"/>
          <w:szCs w:val="19"/>
        </w:rPr>
        <w:t xml:space="preserve">Google Cloud Professional Cloud Architect, Machine Learning Engineer, Data Engineer, and Cloud Security Engineer  ·  AWS Certified Solutions Architect – Professional  ·  Scrum Master Certified  ·  Lean Six Sigma Black Belt</w:t>
      </w:r>
    </w:p>
    <w:p>
      <w:pPr>
        <w:spacing w:after="20" w:before="56"/>
      </w:pPr>
      <w:r>
        <w:rPr>
          <w:b/>
          <w:bCs/>
          <w:color w:val="6B6A4F"/>
          <w:spacing w:val="40"/>
          <w:sz w:val="17"/>
          <w:szCs w:val="17"/>
        </w:rPr>
        <w:t xml:space="preserve">PROFESSIONAL DEVELOPMENT</w:t>
      </w:r>
    </w:p>
    <w:p>
      <w:r>
        <w:rPr>
          <w:sz w:val="19"/>
          <w:szCs w:val="19"/>
        </w:rPr>
        <w:t xml:space="preserve">Stanford AI and Machine Learning in Healthcare</w:t>
      </w:r>
    </w:p>
    <w:sectPr>
      <w:pgSz w:w="12240" w:h="15840" w:orient="portrait"/>
      <w:pgMar w:top="504" w:right="576" w:bottom="504" w:left="57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>
      <w:pPr>
        <w:spacing w:line="22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f3kdb7usabfnurjg6-x" Type="http://schemas.openxmlformats.org/officeDocument/2006/relationships/hyperlink" Target="https://www.linkedin.com/in/christopher-mangun-5257265/" TargetMode="External"/><Relationship Id="rId4patv-stebgp5e0pvf6ny" Type="http://schemas.openxmlformats.org/officeDocument/2006/relationships/hyperlink" Target="https://cmangun.github.io/christopher-mangun-portfolio" TargetMode="External"/><Relationship Id="rIdw6kvroetuacjen6fpyjwq" Type="http://schemas.openxmlformats.org/officeDocument/2006/relationships/hyperlink" Target="https://github.com/cmangu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Mangun — Resume</dc:title>
  <dc:creator>Christopher Mangun</dc:creator>
  <dc:description>Principal Technical Program Manager, AI Delivery</dc:description>
  <cp:lastModifiedBy>Un-named</cp:lastModifiedBy>
  <cp:revision>1</cp:revision>
  <dcterms:created xsi:type="dcterms:W3CDTF">2026-09-25T17:04:56.796Z</dcterms:created>
  <dcterms:modified xsi:type="dcterms:W3CDTF">2026-09-25T17:04:56.802Z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